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7" w:rsidRPr="005027E9" w:rsidRDefault="00BA1B57" w:rsidP="00CA7922">
      <w:pPr>
        <w:rPr>
          <w:rFonts w:ascii="Arial" w:hAnsi="Arial" w:cs="Arial"/>
          <w:snapToGrid w:val="0"/>
          <w:color w:val="00B050"/>
          <w:sz w:val="20"/>
          <w:szCs w:val="20"/>
        </w:rPr>
      </w:pPr>
    </w:p>
    <w:p w:rsidR="000F061D" w:rsidRPr="000F061D" w:rsidRDefault="005027E9" w:rsidP="000F061D">
      <w:pPr>
        <w:rPr>
          <w:rFonts w:ascii="Arial" w:hAnsi="Arial" w:cs="Arial"/>
          <w:b/>
          <w:snapToGrid w:val="0"/>
          <w:color w:val="339966"/>
          <w:sz w:val="40"/>
          <w:szCs w:val="40"/>
        </w:rPr>
      </w:pPr>
      <w:r w:rsidRPr="000F061D">
        <w:rPr>
          <w:rFonts w:ascii="Arial" w:hAnsi="Arial" w:cs="Arial"/>
          <w:b/>
          <w:snapToGrid w:val="0"/>
          <w:color w:val="339966"/>
          <w:sz w:val="40"/>
          <w:szCs w:val="40"/>
        </w:rPr>
        <w:t>INCID</w:t>
      </w:r>
      <w:r>
        <w:rPr>
          <w:rFonts w:ascii="Arial" w:hAnsi="Arial" w:cs="Arial"/>
          <w:b/>
          <w:snapToGrid w:val="0"/>
          <w:color w:val="339966"/>
          <w:sz w:val="40"/>
          <w:szCs w:val="40"/>
        </w:rPr>
        <w:t xml:space="preserve">IN </w:t>
      </w:r>
      <w:r w:rsidR="007C0A47">
        <w:rPr>
          <w:rFonts w:ascii="Arial" w:hAnsi="Arial" w:cs="Arial"/>
          <w:b/>
          <w:snapToGrid w:val="0"/>
          <w:color w:val="339966"/>
          <w:sz w:val="40"/>
          <w:szCs w:val="40"/>
        </w:rPr>
        <w:t>RAPID</w:t>
      </w:r>
    </w:p>
    <w:p w:rsidR="00CA7922" w:rsidRPr="00B26A36" w:rsidRDefault="00CA7922" w:rsidP="00CA7922">
      <w:pPr>
        <w:rPr>
          <w:rFonts w:ascii="Arial" w:hAnsi="Arial" w:cs="Arial"/>
        </w:rPr>
      </w:pPr>
    </w:p>
    <w:p w:rsidR="004C322A" w:rsidRDefault="005027E9" w:rsidP="004C322A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027E9">
        <w:rPr>
          <w:rFonts w:ascii="Arial" w:hAnsi="Arial" w:cs="Arial"/>
        </w:rPr>
        <w:t xml:space="preserve">apalný koncentrovaný </w:t>
      </w:r>
      <w:r w:rsidR="004C322A" w:rsidRPr="00F6722B">
        <w:rPr>
          <w:rFonts w:ascii="Arial" w:hAnsi="Arial" w:cs="Arial"/>
        </w:rPr>
        <w:t xml:space="preserve">vysoce efektivní dezinfekční a čistící přípravek pro plochy, povrchy a předměty. Tento tekutý koncentrát pro čištění a dezinfekci všech omyvatelných ploch </w:t>
      </w:r>
    </w:p>
    <w:p w:rsidR="004C322A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 xml:space="preserve">a povrchů zejména v oblasti zdravotnictví, včetně operačních sálů, oddělení JIP </w:t>
      </w:r>
    </w:p>
    <w:p w:rsidR="004C322A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>a dialyzačních center a dalších rizikových prostor s vysokou mikrobiologickou zátěží. Optimální kombinace uživatelských vlastností = vysoká účinnost</w:t>
      </w:r>
      <w:r w:rsidR="00127992">
        <w:rPr>
          <w:rFonts w:ascii="Arial" w:hAnsi="Arial" w:cs="Arial"/>
        </w:rPr>
        <w:t xml:space="preserve"> </w:t>
      </w:r>
      <w:r w:rsidRPr="00F6722B">
        <w:rPr>
          <w:rFonts w:ascii="Arial" w:hAnsi="Arial" w:cs="Arial"/>
        </w:rPr>
        <w:t xml:space="preserve">+ hygienická bezpečnost </w:t>
      </w:r>
    </w:p>
    <w:p w:rsidR="004C322A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 xml:space="preserve">+ rychlost působení, to vše již při minimálním aplikovaném množství. </w:t>
      </w:r>
    </w:p>
    <w:p w:rsidR="004C322A" w:rsidRPr="00F6722B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 xml:space="preserve">Obsahuje KAS a aldehydy, neobsahuje formaldehyd. Spolehlivě chrání před infekcí. </w:t>
      </w:r>
    </w:p>
    <w:p w:rsidR="00CA7922" w:rsidRPr="00681194" w:rsidRDefault="00B26A36" w:rsidP="004C322A">
      <w:pPr>
        <w:rPr>
          <w:rFonts w:ascii="Arial" w:hAnsi="Arial" w:cs="Arial"/>
        </w:rPr>
      </w:pPr>
      <w:r w:rsidRPr="00681194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4647219</wp:posOffset>
            </wp:positionH>
            <wp:positionV relativeFrom="paragraph">
              <wp:posOffset>123751</wp:posOffset>
            </wp:positionV>
            <wp:extent cx="919100" cy="314697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31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D70" w:rsidRPr="00681194" w:rsidRDefault="0049567C" w:rsidP="00CA7922">
      <w:pPr>
        <w:rPr>
          <w:rFonts w:ascii="Arial" w:hAnsi="Arial" w:cs="Arial"/>
        </w:rPr>
      </w:pPr>
      <w:r w:rsidRPr="0049567C">
        <w:rPr>
          <w:rFonts w:ascii="Arial" w:hAnsi="Arial" w:cs="Arial"/>
          <w:b/>
        </w:rPr>
        <w:t xml:space="preserve">INCIDIN </w:t>
      </w:r>
      <w:r w:rsidR="007C0A47">
        <w:rPr>
          <w:rFonts w:ascii="Arial" w:hAnsi="Arial" w:cs="Arial"/>
          <w:b/>
        </w:rPr>
        <w:t>RAPID</w:t>
      </w:r>
      <w:r w:rsidRPr="009A45C3">
        <w:rPr>
          <w:rFonts w:ascii="Arial" w:hAnsi="Arial" w:cs="Arial"/>
        </w:rPr>
        <w:t xml:space="preserve"> </w:t>
      </w:r>
      <w:r w:rsidR="00CA7922" w:rsidRPr="00681194">
        <w:rPr>
          <w:rFonts w:ascii="Arial" w:hAnsi="Arial" w:cs="Arial"/>
        </w:rPr>
        <w:t>j</w:t>
      </w:r>
      <w:r w:rsidR="005027E9">
        <w:rPr>
          <w:rFonts w:ascii="Arial" w:hAnsi="Arial" w:cs="Arial"/>
        </w:rPr>
        <w:t xml:space="preserve">e </w:t>
      </w:r>
      <w:r w:rsidR="00CA7922" w:rsidRPr="00681194">
        <w:rPr>
          <w:rFonts w:ascii="Arial" w:hAnsi="Arial" w:cs="Arial"/>
        </w:rPr>
        <w:t xml:space="preserve">deklarován jako </w:t>
      </w:r>
      <w:r w:rsidR="003034FA" w:rsidRPr="00681194">
        <w:rPr>
          <w:rFonts w:ascii="Arial" w:hAnsi="Arial" w:cs="Arial"/>
        </w:rPr>
        <w:t>zdravotnický prostředek</w:t>
      </w:r>
      <w:r w:rsidR="00372419" w:rsidRPr="00681194">
        <w:rPr>
          <w:rFonts w:ascii="Arial" w:hAnsi="Arial" w:cs="Arial"/>
        </w:rPr>
        <w:t xml:space="preserve">, </w:t>
      </w:r>
    </w:p>
    <w:p w:rsidR="00D82343" w:rsidRPr="00681194" w:rsidRDefault="00D82343" w:rsidP="00CA7922">
      <w:pPr>
        <w:rPr>
          <w:rFonts w:ascii="Arial" w:hAnsi="Arial" w:cs="Arial"/>
          <w:b/>
        </w:rPr>
      </w:pPr>
      <w:r w:rsidRPr="00681194">
        <w:rPr>
          <w:rFonts w:ascii="Arial" w:hAnsi="Arial" w:cs="Arial"/>
        </w:rPr>
        <w:t>tříd</w:t>
      </w:r>
      <w:r w:rsidR="00372419" w:rsidRPr="00681194">
        <w:rPr>
          <w:rFonts w:ascii="Arial" w:hAnsi="Arial" w:cs="Arial"/>
        </w:rPr>
        <w:t>a</w:t>
      </w:r>
      <w:r w:rsidRPr="00681194">
        <w:rPr>
          <w:rFonts w:ascii="Arial" w:hAnsi="Arial" w:cs="Arial"/>
        </w:rPr>
        <w:t xml:space="preserve"> I</w:t>
      </w:r>
      <w:r w:rsidR="00C526D9" w:rsidRPr="00681194">
        <w:rPr>
          <w:rFonts w:ascii="Arial" w:hAnsi="Arial" w:cs="Arial"/>
        </w:rPr>
        <w:t>I</w:t>
      </w:r>
      <w:r w:rsidR="00763D70" w:rsidRPr="00681194">
        <w:rPr>
          <w:rFonts w:ascii="Arial" w:hAnsi="Arial" w:cs="Arial"/>
        </w:rPr>
        <w:t>a</w:t>
      </w:r>
    </w:p>
    <w:p w:rsidR="00F6722B" w:rsidRPr="00F6722B" w:rsidRDefault="00F6722B" w:rsidP="00F6722B">
      <w:pPr>
        <w:rPr>
          <w:rFonts w:ascii="Arial" w:hAnsi="Arial" w:cs="Arial"/>
        </w:rPr>
      </w:pPr>
    </w:p>
    <w:p w:rsidR="004C322A" w:rsidRPr="00793165" w:rsidRDefault="004C322A" w:rsidP="004C322A">
      <w:pPr>
        <w:rPr>
          <w:rFonts w:ascii="Arial" w:hAnsi="Arial" w:cs="Arial"/>
        </w:rPr>
      </w:pPr>
      <w:r w:rsidRPr="00793165">
        <w:rPr>
          <w:rFonts w:ascii="Arial" w:hAnsi="Arial" w:cs="Arial"/>
        </w:rPr>
        <w:t>Výhody pro uživatele:</w:t>
      </w:r>
    </w:p>
    <w:p w:rsidR="00F6722B" w:rsidRPr="00F6722B" w:rsidRDefault="00F6722B" w:rsidP="00F6722B">
      <w:pPr>
        <w:rPr>
          <w:rFonts w:ascii="Arial" w:hAnsi="Arial" w:cs="Arial"/>
        </w:rPr>
      </w:pPr>
      <w:r w:rsidRPr="00F6722B">
        <w:rPr>
          <w:rFonts w:ascii="Arial" w:hAnsi="Arial" w:cs="Arial"/>
        </w:rPr>
        <w:t>• dobrý čisticí účinek</w:t>
      </w:r>
    </w:p>
    <w:p w:rsidR="00F6722B" w:rsidRPr="00F6722B" w:rsidRDefault="00F6722B" w:rsidP="00F6722B">
      <w:pPr>
        <w:rPr>
          <w:rFonts w:ascii="Arial" w:hAnsi="Arial" w:cs="Arial"/>
        </w:rPr>
      </w:pPr>
      <w:r w:rsidRPr="00F6722B">
        <w:rPr>
          <w:rFonts w:ascii="Arial" w:hAnsi="Arial" w:cs="Arial"/>
        </w:rPr>
        <w:t>• kompatibilita s materiály</w:t>
      </w:r>
    </w:p>
    <w:p w:rsidR="00F6722B" w:rsidRPr="00F6722B" w:rsidRDefault="00F6722B" w:rsidP="00F6722B">
      <w:pPr>
        <w:rPr>
          <w:rFonts w:ascii="Arial" w:hAnsi="Arial" w:cs="Arial"/>
        </w:rPr>
      </w:pPr>
      <w:r w:rsidRPr="00F6722B">
        <w:rPr>
          <w:rFonts w:ascii="Arial" w:hAnsi="Arial" w:cs="Arial"/>
        </w:rPr>
        <w:t>• rychlé a spolehlivé působení</w:t>
      </w:r>
    </w:p>
    <w:p w:rsidR="00F6722B" w:rsidRPr="00F6722B" w:rsidRDefault="00F6722B" w:rsidP="00F6722B">
      <w:pPr>
        <w:rPr>
          <w:rFonts w:ascii="Arial" w:hAnsi="Arial" w:cs="Arial"/>
        </w:rPr>
      </w:pPr>
      <w:r w:rsidRPr="00F6722B">
        <w:rPr>
          <w:rFonts w:ascii="Arial" w:hAnsi="Arial" w:cs="Arial"/>
        </w:rPr>
        <w:t>• vysoká bezpečnost pacientů i personálu, zejména v prostorách s vysokou mikrobiologickou zátěží</w:t>
      </w:r>
      <w:r w:rsidR="004C322A">
        <w:rPr>
          <w:rFonts w:ascii="Arial" w:hAnsi="Arial" w:cs="Arial"/>
        </w:rPr>
        <w:t xml:space="preserve"> a </w:t>
      </w:r>
      <w:r w:rsidRPr="00F6722B">
        <w:rPr>
          <w:rFonts w:ascii="Arial" w:hAnsi="Arial" w:cs="Arial"/>
        </w:rPr>
        <w:t>v případě rizika virových infekcí</w:t>
      </w:r>
    </w:p>
    <w:p w:rsidR="00F6722B" w:rsidRDefault="00F6722B" w:rsidP="00F6722B">
      <w:pPr>
        <w:rPr>
          <w:rFonts w:ascii="Arial" w:hAnsi="Arial" w:cs="Arial"/>
        </w:rPr>
      </w:pPr>
      <w:r w:rsidRPr="00F6722B">
        <w:rPr>
          <w:rFonts w:ascii="Arial" w:hAnsi="Arial" w:cs="Arial"/>
        </w:rPr>
        <w:t xml:space="preserve">• </w:t>
      </w:r>
      <w:r w:rsidR="004C322A" w:rsidRPr="00F6722B">
        <w:rPr>
          <w:rFonts w:ascii="Arial" w:hAnsi="Arial" w:cs="Arial"/>
        </w:rPr>
        <w:t>hospodárnost</w:t>
      </w:r>
      <w:r w:rsidR="004C322A">
        <w:rPr>
          <w:rFonts w:ascii="Arial" w:hAnsi="Arial" w:cs="Arial"/>
        </w:rPr>
        <w:t xml:space="preserve">, </w:t>
      </w:r>
      <w:r w:rsidRPr="00F6722B">
        <w:rPr>
          <w:rFonts w:ascii="Arial" w:hAnsi="Arial" w:cs="Arial"/>
        </w:rPr>
        <w:t>ošetření ploch a povrchů v jednom jediném pracovním kroku</w:t>
      </w:r>
    </w:p>
    <w:p w:rsidR="004C322A" w:rsidRDefault="004C322A" w:rsidP="00F6722B">
      <w:pPr>
        <w:rPr>
          <w:rFonts w:ascii="Arial" w:hAnsi="Arial" w:cs="Arial"/>
        </w:rPr>
      </w:pPr>
    </w:p>
    <w:p w:rsidR="004C322A" w:rsidRPr="00F6722B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 xml:space="preserve">Obsah účinných látek ve 100 g koncentrátu: </w:t>
      </w:r>
    </w:p>
    <w:p w:rsidR="004C322A" w:rsidRPr="00F6722B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>9,8 g glutaraldehyd</w:t>
      </w:r>
    </w:p>
    <w:p w:rsidR="004C322A" w:rsidRPr="00F6722B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>5,0 g benzalkoniumchlorid</w:t>
      </w:r>
    </w:p>
    <w:p w:rsidR="004C322A" w:rsidRPr="00F6722B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>5,0 g didecyldimetylamoniumchlorid</w:t>
      </w:r>
    </w:p>
    <w:p w:rsidR="004C322A" w:rsidRPr="00F6722B" w:rsidRDefault="004C322A" w:rsidP="004C322A">
      <w:pPr>
        <w:rPr>
          <w:rFonts w:ascii="Arial" w:hAnsi="Arial" w:cs="Arial"/>
        </w:rPr>
      </w:pPr>
    </w:p>
    <w:p w:rsidR="004C322A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>Složení: antimikrobiální látky, neionogenní tenzidy, komplexní pojivo, rozpouštědlo, inhibitory koroze, barviva a aromatické látky.</w:t>
      </w:r>
    </w:p>
    <w:p w:rsidR="004C322A" w:rsidRPr="00F6722B" w:rsidRDefault="004C322A" w:rsidP="004C322A">
      <w:pPr>
        <w:rPr>
          <w:rFonts w:ascii="Arial" w:hAnsi="Arial" w:cs="Arial"/>
        </w:rPr>
      </w:pPr>
    </w:p>
    <w:p w:rsidR="004C322A" w:rsidRDefault="00F6722B" w:rsidP="00F6722B">
      <w:pPr>
        <w:rPr>
          <w:rFonts w:ascii="Arial" w:hAnsi="Arial" w:cs="Arial"/>
        </w:rPr>
      </w:pPr>
      <w:r w:rsidRPr="00F6722B">
        <w:rPr>
          <w:rFonts w:ascii="Arial" w:hAnsi="Arial" w:cs="Arial"/>
        </w:rPr>
        <w:t xml:space="preserve">Kompatibilita výrobku Incidin rapid: </w:t>
      </w:r>
      <w:r w:rsidR="004C322A">
        <w:rPr>
          <w:rFonts w:ascii="Arial" w:hAnsi="Arial" w:cs="Arial"/>
        </w:rPr>
        <w:t>d</w:t>
      </w:r>
      <w:r w:rsidRPr="00F6722B">
        <w:rPr>
          <w:rFonts w:ascii="Arial" w:hAnsi="Arial" w:cs="Arial"/>
        </w:rPr>
        <w:t xml:space="preserve">ezinfekční prostředek Incidin rapid je kompatibilní </w:t>
      </w:r>
    </w:p>
    <w:p w:rsidR="004C322A" w:rsidRDefault="00F6722B" w:rsidP="00F6722B">
      <w:pPr>
        <w:rPr>
          <w:rFonts w:ascii="Arial" w:hAnsi="Arial" w:cs="Arial"/>
        </w:rPr>
      </w:pPr>
      <w:r w:rsidRPr="00F6722B">
        <w:rPr>
          <w:rFonts w:ascii="Arial" w:hAnsi="Arial" w:cs="Arial"/>
        </w:rPr>
        <w:t xml:space="preserve">s materiály jako jsou kovy, včetně mosazi, elastomery, např. EPDM, podlahové povrchy, např. linoleum, plasty – vhodné pro polykarbonát (makrolon), polymetakrylát (akrylové sklo, plexisklo), aj. </w:t>
      </w:r>
      <w:r w:rsidR="004C322A">
        <w:rPr>
          <w:rFonts w:ascii="Arial" w:hAnsi="Arial" w:cs="Arial"/>
        </w:rPr>
        <w:t xml:space="preserve">Přípravek </w:t>
      </w:r>
      <w:r w:rsidRPr="00F6722B">
        <w:rPr>
          <w:rFonts w:ascii="Arial" w:hAnsi="Arial" w:cs="Arial"/>
        </w:rPr>
        <w:t>je vhodný k dezinfekci a mytí podlah, ošetřených polymery</w:t>
      </w:r>
      <w:r w:rsidR="004C322A">
        <w:rPr>
          <w:rFonts w:ascii="Arial" w:hAnsi="Arial" w:cs="Arial"/>
        </w:rPr>
        <w:t xml:space="preserve">, </w:t>
      </w:r>
    </w:p>
    <w:p w:rsidR="00F6722B" w:rsidRPr="00F6722B" w:rsidRDefault="004C322A" w:rsidP="00F6722B">
      <w:pPr>
        <w:rPr>
          <w:rFonts w:ascii="Arial" w:hAnsi="Arial" w:cs="Arial"/>
        </w:rPr>
      </w:pPr>
      <w:r>
        <w:rPr>
          <w:rFonts w:ascii="Arial" w:hAnsi="Arial" w:cs="Arial"/>
        </w:rPr>
        <w:t>doložená kompatibilita.</w:t>
      </w:r>
    </w:p>
    <w:p w:rsidR="00F6722B" w:rsidRPr="00F6722B" w:rsidRDefault="00F6722B" w:rsidP="00F6722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1849"/>
        <w:gridCol w:w="1876"/>
        <w:gridCol w:w="1555"/>
      </w:tblGrid>
      <w:tr w:rsidR="00F6722B" w:rsidRPr="00F6722B" w:rsidTr="004C322A">
        <w:tc>
          <w:tcPr>
            <w:tcW w:w="0" w:type="auto"/>
          </w:tcPr>
          <w:p w:rsidR="004C322A" w:rsidRDefault="004C322A" w:rsidP="004C322A">
            <w:pPr>
              <w:outlineLvl w:val="0"/>
              <w:rPr>
                <w:rFonts w:ascii="Arial" w:hAnsi="Arial" w:cs="Arial"/>
                <w:b/>
                <w:snapToGrid w:val="0"/>
              </w:rPr>
            </w:pPr>
          </w:p>
          <w:p w:rsidR="00F6722B" w:rsidRPr="004C322A" w:rsidRDefault="00F6722B" w:rsidP="004C322A">
            <w:pPr>
              <w:outlineLvl w:val="0"/>
              <w:rPr>
                <w:rFonts w:ascii="Arial" w:hAnsi="Arial" w:cs="Arial"/>
                <w:b/>
                <w:snapToGrid w:val="0"/>
              </w:rPr>
            </w:pPr>
            <w:r w:rsidRPr="004C322A">
              <w:rPr>
                <w:rFonts w:ascii="Arial" w:hAnsi="Arial" w:cs="Arial"/>
                <w:b/>
                <w:snapToGrid w:val="0"/>
              </w:rPr>
              <w:t>Spektrum účinnosti</w:t>
            </w:r>
          </w:p>
        </w:tc>
        <w:tc>
          <w:tcPr>
            <w:tcW w:w="0" w:type="auto"/>
          </w:tcPr>
          <w:p w:rsidR="00F6722B" w:rsidRPr="004C322A" w:rsidRDefault="004C322A" w:rsidP="004C322A">
            <w:pPr>
              <w:outlineLvl w:val="0"/>
              <w:rPr>
                <w:rFonts w:ascii="Arial" w:hAnsi="Arial" w:cs="Arial"/>
                <w:b/>
                <w:snapToGrid w:val="0"/>
              </w:rPr>
            </w:pPr>
            <w:r w:rsidRPr="004C322A">
              <w:rPr>
                <w:rFonts w:ascii="Arial" w:hAnsi="Arial" w:cs="Arial"/>
                <w:b/>
                <w:snapToGrid w:val="0"/>
              </w:rPr>
              <w:t>Koncentrace (</w:t>
            </w:r>
            <w:r w:rsidR="00F6722B" w:rsidRPr="004C322A">
              <w:rPr>
                <w:rFonts w:ascii="Arial" w:hAnsi="Arial" w:cs="Arial"/>
                <w:b/>
                <w:snapToGrid w:val="0"/>
              </w:rPr>
              <w:t>%)</w:t>
            </w:r>
          </w:p>
        </w:tc>
        <w:tc>
          <w:tcPr>
            <w:tcW w:w="0" w:type="auto"/>
          </w:tcPr>
          <w:p w:rsidR="00F6722B" w:rsidRPr="004C322A" w:rsidRDefault="004C322A" w:rsidP="004C322A">
            <w:pPr>
              <w:outlineLvl w:val="0"/>
              <w:rPr>
                <w:rFonts w:ascii="Arial" w:hAnsi="Arial" w:cs="Arial"/>
                <w:b/>
                <w:snapToGrid w:val="0"/>
              </w:rPr>
            </w:pPr>
            <w:r w:rsidRPr="004C322A">
              <w:rPr>
                <w:rFonts w:ascii="Arial" w:hAnsi="Arial" w:cs="Arial"/>
                <w:b/>
                <w:snapToGrid w:val="0"/>
              </w:rPr>
              <w:t>Koncentrace (</w:t>
            </w:r>
            <w:r w:rsidR="00F6722B" w:rsidRPr="004C322A">
              <w:rPr>
                <w:rFonts w:ascii="Arial" w:hAnsi="Arial" w:cs="Arial"/>
                <w:b/>
                <w:snapToGrid w:val="0"/>
              </w:rPr>
              <w:t>ml)</w:t>
            </w:r>
          </w:p>
        </w:tc>
        <w:tc>
          <w:tcPr>
            <w:tcW w:w="0" w:type="auto"/>
          </w:tcPr>
          <w:p w:rsidR="00F6722B" w:rsidRPr="004C322A" w:rsidRDefault="00F6722B" w:rsidP="004C322A">
            <w:pPr>
              <w:outlineLvl w:val="0"/>
              <w:rPr>
                <w:rFonts w:ascii="Arial" w:hAnsi="Arial" w:cs="Arial"/>
                <w:b/>
                <w:snapToGrid w:val="0"/>
              </w:rPr>
            </w:pPr>
            <w:r w:rsidRPr="004C322A">
              <w:rPr>
                <w:rFonts w:ascii="Arial" w:hAnsi="Arial" w:cs="Arial"/>
                <w:b/>
                <w:snapToGrid w:val="0"/>
              </w:rPr>
              <w:t>Doba působení</w:t>
            </w:r>
          </w:p>
        </w:tc>
      </w:tr>
      <w:tr w:rsidR="00F6722B" w:rsidRPr="00F6722B" w:rsidTr="004C322A">
        <w:tc>
          <w:tcPr>
            <w:tcW w:w="0" w:type="auto"/>
          </w:tcPr>
          <w:p w:rsidR="004C322A" w:rsidRDefault="004C322A" w:rsidP="004C322A">
            <w:pPr>
              <w:outlineLv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Ú</w:t>
            </w:r>
            <w:r w:rsidR="00F6722B" w:rsidRPr="00F6722B">
              <w:rPr>
                <w:rFonts w:ascii="Arial" w:hAnsi="Arial" w:cs="Arial"/>
                <w:snapToGrid w:val="0"/>
              </w:rPr>
              <w:t>činnost proti bakteriím</w:t>
            </w:r>
            <w:r w:rsidR="00F6722B" w:rsidRPr="00F6722B">
              <w:rPr>
                <w:rFonts w:ascii="Arial" w:hAnsi="Arial" w:cs="Arial"/>
                <w:snapToGrid w:val="0"/>
              </w:rPr>
              <w:br/>
              <w:t xml:space="preserve">a kvasinkám (DGHM, praktické podmínky s mechanickou akcí) </w:t>
            </w:r>
            <w:r w:rsidR="00F6722B" w:rsidRPr="00F6722B"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t>Ú</w:t>
            </w:r>
            <w:r w:rsidRPr="00F6722B">
              <w:rPr>
                <w:rFonts w:ascii="Arial" w:hAnsi="Arial" w:cs="Arial"/>
                <w:snapToGrid w:val="0"/>
              </w:rPr>
              <w:t>činnost proti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F6722B" w:rsidRPr="00F6722B">
              <w:rPr>
                <w:rFonts w:ascii="Arial" w:hAnsi="Arial" w:cs="Arial"/>
                <w:snapToGrid w:val="0"/>
              </w:rPr>
              <w:t xml:space="preserve">bakteriím ( odp. EN 13727) 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a kvasinkám ( odp. EN 14624) vč. MRSA DGHM susp. test -vyšší biologická zátěž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0,25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0,5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 xml:space="preserve">0,75                              </w:t>
            </w:r>
          </w:p>
          <w:p w:rsid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</w:p>
          <w:p w:rsidR="004C322A" w:rsidRDefault="004C322A" w:rsidP="004C322A">
            <w:pPr>
              <w:outlineLvl w:val="0"/>
              <w:rPr>
                <w:rFonts w:ascii="Arial" w:hAnsi="Arial" w:cs="Arial"/>
                <w:snapToGrid w:val="0"/>
              </w:rPr>
            </w:pP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 xml:space="preserve">0,25 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2,5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5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 xml:space="preserve">7,5                                         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</w:p>
          <w:p w:rsidR="004C322A" w:rsidRDefault="004C322A" w:rsidP="004C322A">
            <w:pPr>
              <w:outlineLvl w:val="0"/>
              <w:rPr>
                <w:rFonts w:ascii="Arial" w:hAnsi="Arial" w:cs="Arial"/>
                <w:snapToGrid w:val="0"/>
              </w:rPr>
            </w:pP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2,5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1 hod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30 min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 xml:space="preserve">5 min                              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</w:p>
          <w:p w:rsidR="004C322A" w:rsidRDefault="004C322A" w:rsidP="004C322A">
            <w:pPr>
              <w:outlineLvl w:val="0"/>
              <w:rPr>
                <w:rFonts w:ascii="Arial" w:hAnsi="Arial" w:cs="Arial"/>
                <w:snapToGrid w:val="0"/>
              </w:rPr>
            </w:pP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15 min</w:t>
            </w:r>
          </w:p>
        </w:tc>
      </w:tr>
      <w:tr w:rsidR="00F6722B" w:rsidRPr="00F6722B" w:rsidTr="004C322A"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Omezeně virucidní působení</w:t>
            </w:r>
            <w:r w:rsidRPr="00F6722B">
              <w:rPr>
                <w:rFonts w:ascii="Arial" w:hAnsi="Arial" w:cs="Arial"/>
                <w:snapToGrid w:val="0"/>
              </w:rPr>
              <w:br/>
              <w:t>vč. HIV, HBV a HCV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0,25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2,5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5 min</w:t>
            </w:r>
          </w:p>
        </w:tc>
      </w:tr>
      <w:tr w:rsidR="00F6722B" w:rsidRPr="00F6722B" w:rsidTr="004C322A">
        <w:tc>
          <w:tcPr>
            <w:tcW w:w="0" w:type="auto"/>
          </w:tcPr>
          <w:p w:rsidR="00F6722B" w:rsidRPr="00F6722B" w:rsidRDefault="00F6722B" w:rsidP="004C322A">
            <w:pPr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Rotaviry, Adenoviry a viry SV40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0,25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0,5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2,5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15 min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5 min</w:t>
            </w:r>
          </w:p>
        </w:tc>
      </w:tr>
      <w:tr w:rsidR="00F6722B" w:rsidRPr="00F6722B" w:rsidTr="004C322A"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Virucidní účinky (Polio)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0,5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0,75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5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7,5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60 min</w:t>
            </w:r>
          </w:p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30 min</w:t>
            </w:r>
          </w:p>
        </w:tc>
      </w:tr>
      <w:tr w:rsidR="00F6722B" w:rsidRPr="00F6722B" w:rsidTr="004C322A"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lastRenderedPageBreak/>
              <w:t>TBC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0,5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outlineLvl w:val="0"/>
              <w:rPr>
                <w:rFonts w:ascii="Arial" w:hAnsi="Arial" w:cs="Arial"/>
                <w:snapToGrid w:val="0"/>
              </w:rPr>
            </w:pPr>
            <w:r w:rsidRPr="00F6722B">
              <w:rPr>
                <w:rFonts w:ascii="Arial" w:hAnsi="Arial" w:cs="Arial"/>
                <w:snapToGrid w:val="0"/>
              </w:rPr>
              <w:t>30 min</w:t>
            </w:r>
          </w:p>
        </w:tc>
      </w:tr>
      <w:tr w:rsidR="00F6722B" w:rsidRPr="00F6722B" w:rsidTr="004C322A">
        <w:tblPrEx>
          <w:tblCellMar>
            <w:left w:w="70" w:type="dxa"/>
            <w:right w:w="70" w:type="dxa"/>
          </w:tblCellMar>
          <w:tblLook w:val="0000"/>
        </w:tblPrEx>
        <w:trPr>
          <w:trHeight w:val="243"/>
        </w:trPr>
        <w:tc>
          <w:tcPr>
            <w:tcW w:w="0" w:type="auto"/>
          </w:tcPr>
          <w:p w:rsidR="00F6722B" w:rsidRPr="00F6722B" w:rsidRDefault="00F6722B" w:rsidP="004C322A">
            <w:pPr>
              <w:ind w:left="108"/>
              <w:rPr>
                <w:rFonts w:ascii="Arial" w:hAnsi="Arial" w:cs="Arial"/>
                <w:color w:val="00B050"/>
              </w:rPr>
            </w:pPr>
            <w:r w:rsidRPr="00F6722B">
              <w:rPr>
                <w:rFonts w:ascii="Arial" w:hAnsi="Arial" w:cs="Arial"/>
              </w:rPr>
              <w:t>Clostridium difficile DGHM praktické podmínky vyšší</w:t>
            </w:r>
            <w:r w:rsidRPr="00F6722B">
              <w:rPr>
                <w:rFonts w:ascii="Arial" w:hAnsi="Arial" w:cs="Arial"/>
                <w:color w:val="00B050"/>
              </w:rPr>
              <w:t xml:space="preserve"> </w:t>
            </w:r>
            <w:r w:rsidRPr="00F6722B">
              <w:rPr>
                <w:rFonts w:ascii="Arial" w:hAnsi="Arial" w:cs="Arial"/>
              </w:rPr>
              <w:t>biologická zátěž</w:t>
            </w:r>
          </w:p>
        </w:tc>
        <w:tc>
          <w:tcPr>
            <w:tcW w:w="0" w:type="auto"/>
          </w:tcPr>
          <w:p w:rsidR="00F6722B" w:rsidRPr="00F6722B" w:rsidRDefault="00F6722B" w:rsidP="004C322A">
            <w:pPr>
              <w:ind w:left="108"/>
              <w:rPr>
                <w:rFonts w:ascii="Arial" w:hAnsi="Arial" w:cs="Arial"/>
              </w:rPr>
            </w:pPr>
            <w:r w:rsidRPr="00F6722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722B" w:rsidRPr="00F6722B" w:rsidRDefault="00F6722B" w:rsidP="004C322A">
            <w:pPr>
              <w:rPr>
                <w:rFonts w:ascii="Arial" w:hAnsi="Arial" w:cs="Arial"/>
              </w:rPr>
            </w:pPr>
            <w:r w:rsidRPr="00F6722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6722B" w:rsidRPr="00F6722B" w:rsidRDefault="00F6722B" w:rsidP="004C322A">
            <w:pPr>
              <w:rPr>
                <w:rFonts w:ascii="Arial" w:hAnsi="Arial" w:cs="Arial"/>
              </w:rPr>
            </w:pPr>
            <w:r w:rsidRPr="00F6722B">
              <w:rPr>
                <w:rFonts w:ascii="Arial" w:hAnsi="Arial" w:cs="Arial"/>
              </w:rPr>
              <w:t>60 min</w:t>
            </w:r>
          </w:p>
        </w:tc>
      </w:tr>
    </w:tbl>
    <w:p w:rsidR="004C322A" w:rsidRDefault="004C322A" w:rsidP="004C322A">
      <w:pPr>
        <w:rPr>
          <w:rFonts w:ascii="Arial" w:hAnsi="Arial" w:cs="Arial"/>
        </w:rPr>
      </w:pPr>
    </w:p>
    <w:p w:rsidR="004C322A" w:rsidRPr="00F6722B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>Účinnost: baktericidní vč. MRSA, plně virucidní, tuberkulocidní, fungicidní, sporicidní</w:t>
      </w:r>
    </w:p>
    <w:p w:rsidR="004C322A" w:rsidRDefault="004C322A" w:rsidP="00F6722B">
      <w:pPr>
        <w:rPr>
          <w:rFonts w:ascii="Arial" w:hAnsi="Arial" w:cs="Arial"/>
        </w:rPr>
      </w:pPr>
    </w:p>
    <w:p w:rsidR="004C322A" w:rsidRDefault="004C322A" w:rsidP="004C322A">
      <w:pPr>
        <w:rPr>
          <w:rFonts w:ascii="Arial" w:hAnsi="Arial" w:cs="Arial"/>
        </w:rPr>
      </w:pPr>
      <w:r w:rsidRPr="00C9751A">
        <w:rPr>
          <w:rFonts w:ascii="Arial" w:hAnsi="Arial" w:cs="Arial"/>
          <w:b/>
        </w:rPr>
        <w:t xml:space="preserve">Návod k použití: </w:t>
      </w:r>
      <w:r>
        <w:rPr>
          <w:rFonts w:ascii="Arial" w:hAnsi="Arial" w:cs="Arial"/>
        </w:rPr>
        <w:t>p</w:t>
      </w:r>
      <w:r w:rsidRPr="00F6722B">
        <w:rPr>
          <w:rFonts w:ascii="Arial" w:hAnsi="Arial" w:cs="Arial"/>
        </w:rPr>
        <w:t xml:space="preserve">racovní roztok požadované koncentrace připravte naředěním vodou </w:t>
      </w:r>
    </w:p>
    <w:p w:rsidR="004C322A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 xml:space="preserve">o maximální teplotě 30°C. Ošetřovaný povrch vytřete navlhko a přitom dbejte na jeho rovnoměrné smáčení. Informaci o firmách zabezpečujících zneškodnění obalů </w:t>
      </w:r>
    </w:p>
    <w:p w:rsidR="004C322A" w:rsidRPr="00F6722B" w:rsidRDefault="004C322A" w:rsidP="004C322A">
      <w:pPr>
        <w:rPr>
          <w:rFonts w:ascii="Arial" w:hAnsi="Arial" w:cs="Arial"/>
        </w:rPr>
      </w:pPr>
      <w:r w:rsidRPr="00F6722B">
        <w:rPr>
          <w:rFonts w:ascii="Arial" w:hAnsi="Arial" w:cs="Arial"/>
        </w:rPr>
        <w:t>a nespotřebovaných částí výrobku obdržíte u pověřeného místně příslušného správního úřadu.</w:t>
      </w:r>
    </w:p>
    <w:p w:rsidR="004C322A" w:rsidRDefault="004C322A" w:rsidP="00F6722B">
      <w:pPr>
        <w:rPr>
          <w:rFonts w:ascii="Arial" w:hAnsi="Arial" w:cs="Arial"/>
        </w:rPr>
      </w:pPr>
    </w:p>
    <w:p w:rsidR="00374ED8" w:rsidRDefault="00127992" w:rsidP="00374ED8">
      <w:pPr>
        <w:autoSpaceDE w:val="0"/>
        <w:autoSpaceDN w:val="0"/>
        <w:adjustRightInd w:val="0"/>
        <w:rPr>
          <w:rFonts w:ascii="Arial" w:hAnsi="Arial" w:cs="Arial"/>
        </w:rPr>
      </w:pPr>
      <w:r w:rsidRPr="009C017E">
        <w:rPr>
          <w:rFonts w:ascii="Arial" w:hAnsi="Arial" w:cs="Arial"/>
          <w:b/>
        </w:rPr>
        <w:t>Bezpečnost:</w:t>
      </w:r>
      <w:r w:rsidRPr="009C017E">
        <w:rPr>
          <w:rFonts w:ascii="Arial" w:hAnsi="Arial" w:cs="Arial"/>
        </w:rPr>
        <w:t xml:space="preserve"> Přípravek je klasifikován jako nebezpečný pro zdraví člověka dle nařízení (ES) č. 1272/2008 (Nebezpečí; </w:t>
      </w:r>
      <w:r w:rsidR="00374ED8" w:rsidRPr="00127992">
        <w:rPr>
          <w:rFonts w:ascii="Arial" w:hAnsi="Arial" w:cs="Arial"/>
        </w:rPr>
        <w:t>Hořlavé kapaliny, Kategorie 3</w:t>
      </w:r>
      <w:r w:rsidR="00374ED8">
        <w:rPr>
          <w:rFonts w:ascii="Arial" w:hAnsi="Arial" w:cs="Arial"/>
        </w:rPr>
        <w:t>,</w:t>
      </w:r>
      <w:r w:rsidR="00374ED8" w:rsidRPr="00127992">
        <w:rPr>
          <w:rFonts w:ascii="Arial" w:hAnsi="Arial" w:cs="Arial"/>
        </w:rPr>
        <w:t xml:space="preserve"> H226</w:t>
      </w:r>
      <w:r w:rsidR="00374ED8">
        <w:rPr>
          <w:rFonts w:ascii="Arial" w:hAnsi="Arial" w:cs="Arial"/>
        </w:rPr>
        <w:t xml:space="preserve">; </w:t>
      </w:r>
      <w:r w:rsidR="00374ED8" w:rsidRPr="00127992">
        <w:rPr>
          <w:rFonts w:ascii="Arial" w:hAnsi="Arial" w:cs="Arial"/>
        </w:rPr>
        <w:t>Akutní toxicita, Kategorie 4</w:t>
      </w:r>
      <w:r w:rsidR="00374ED8">
        <w:rPr>
          <w:rFonts w:ascii="Arial" w:hAnsi="Arial" w:cs="Arial"/>
        </w:rPr>
        <w:t>,</w:t>
      </w:r>
      <w:r w:rsidR="00374ED8" w:rsidRPr="00127992">
        <w:rPr>
          <w:rFonts w:ascii="Arial" w:hAnsi="Arial" w:cs="Arial"/>
        </w:rPr>
        <w:t xml:space="preserve"> H302</w:t>
      </w:r>
      <w:r w:rsidR="00374ED8">
        <w:rPr>
          <w:rFonts w:ascii="Arial" w:hAnsi="Arial" w:cs="Arial"/>
        </w:rPr>
        <w:t xml:space="preserve">; </w:t>
      </w:r>
      <w:r w:rsidR="00374ED8" w:rsidRPr="00127992">
        <w:rPr>
          <w:rFonts w:ascii="Arial" w:hAnsi="Arial" w:cs="Arial"/>
        </w:rPr>
        <w:t>Žíravost pro kůži, Kategorie 1B</w:t>
      </w:r>
      <w:r w:rsidR="00374ED8">
        <w:rPr>
          <w:rFonts w:ascii="Arial" w:hAnsi="Arial" w:cs="Arial"/>
        </w:rPr>
        <w:t>,</w:t>
      </w:r>
      <w:r w:rsidR="00374ED8" w:rsidRPr="00127992">
        <w:rPr>
          <w:rFonts w:ascii="Arial" w:hAnsi="Arial" w:cs="Arial"/>
        </w:rPr>
        <w:t xml:space="preserve"> H314</w:t>
      </w:r>
      <w:r w:rsidR="00374ED8">
        <w:rPr>
          <w:rFonts w:ascii="Arial" w:hAnsi="Arial" w:cs="Arial"/>
        </w:rPr>
        <w:t xml:space="preserve">; </w:t>
      </w:r>
      <w:r w:rsidR="00374ED8" w:rsidRPr="00127992">
        <w:rPr>
          <w:rFonts w:ascii="Arial" w:hAnsi="Arial" w:cs="Arial"/>
        </w:rPr>
        <w:t xml:space="preserve">Dechová senzibilizace, </w:t>
      </w:r>
    </w:p>
    <w:p w:rsidR="00374ED8" w:rsidRDefault="00374ED8" w:rsidP="00127992">
      <w:pPr>
        <w:autoSpaceDE w:val="0"/>
        <w:autoSpaceDN w:val="0"/>
        <w:adjustRightInd w:val="0"/>
        <w:rPr>
          <w:rFonts w:ascii="Arial" w:hAnsi="Arial" w:cs="Arial"/>
        </w:rPr>
      </w:pPr>
      <w:r w:rsidRPr="00127992">
        <w:rPr>
          <w:rFonts w:ascii="Arial" w:hAnsi="Arial" w:cs="Arial"/>
        </w:rPr>
        <w:t>Kategorie 1</w:t>
      </w:r>
      <w:r>
        <w:rPr>
          <w:rFonts w:ascii="Arial" w:hAnsi="Arial" w:cs="Arial"/>
        </w:rPr>
        <w:t>,</w:t>
      </w:r>
      <w:r w:rsidRPr="00127992">
        <w:rPr>
          <w:rFonts w:ascii="Arial" w:hAnsi="Arial" w:cs="Arial"/>
        </w:rPr>
        <w:t xml:space="preserve"> H334</w:t>
      </w:r>
      <w:r>
        <w:rPr>
          <w:rFonts w:ascii="Arial" w:hAnsi="Arial" w:cs="Arial"/>
        </w:rPr>
        <w:t xml:space="preserve">; </w:t>
      </w:r>
      <w:r w:rsidRPr="00127992">
        <w:rPr>
          <w:rFonts w:ascii="Arial" w:hAnsi="Arial" w:cs="Arial"/>
        </w:rPr>
        <w:t>Senzibilizace kůže, Kategorie 1</w:t>
      </w:r>
      <w:r>
        <w:rPr>
          <w:rFonts w:ascii="Arial" w:hAnsi="Arial" w:cs="Arial"/>
        </w:rPr>
        <w:t>,</w:t>
      </w:r>
      <w:r w:rsidRPr="00127992">
        <w:rPr>
          <w:rFonts w:ascii="Arial" w:hAnsi="Arial" w:cs="Arial"/>
        </w:rPr>
        <w:t xml:space="preserve"> H317</w:t>
      </w:r>
      <w:r>
        <w:rPr>
          <w:rFonts w:ascii="Arial" w:hAnsi="Arial" w:cs="Arial"/>
        </w:rPr>
        <w:t xml:space="preserve">; </w:t>
      </w:r>
      <w:r w:rsidRPr="00127992">
        <w:rPr>
          <w:rFonts w:ascii="Arial" w:hAnsi="Arial" w:cs="Arial"/>
        </w:rPr>
        <w:t>Toxicita pro specifické cílové</w:t>
      </w:r>
      <w:r>
        <w:rPr>
          <w:rFonts w:ascii="Arial" w:hAnsi="Arial" w:cs="Arial"/>
        </w:rPr>
        <w:t xml:space="preserve"> orgány - jednorázová expozice, </w:t>
      </w:r>
      <w:r w:rsidRPr="00127992">
        <w:rPr>
          <w:rFonts w:ascii="Arial" w:hAnsi="Arial" w:cs="Arial"/>
        </w:rPr>
        <w:t>Kategorie 3, Dýchací systém</w:t>
      </w:r>
      <w:r>
        <w:rPr>
          <w:rFonts w:ascii="Arial" w:hAnsi="Arial" w:cs="Arial"/>
        </w:rPr>
        <w:t xml:space="preserve">, </w:t>
      </w:r>
      <w:r w:rsidRPr="00127992">
        <w:rPr>
          <w:rFonts w:ascii="Arial" w:hAnsi="Arial" w:cs="Arial"/>
        </w:rPr>
        <w:t>H335</w:t>
      </w:r>
      <w:r>
        <w:rPr>
          <w:rFonts w:ascii="Arial" w:hAnsi="Arial" w:cs="Arial"/>
        </w:rPr>
        <w:t xml:space="preserve">; </w:t>
      </w:r>
      <w:r w:rsidRPr="00127992">
        <w:rPr>
          <w:rFonts w:ascii="Arial" w:hAnsi="Arial" w:cs="Arial"/>
        </w:rPr>
        <w:t xml:space="preserve">Akutní toxicita </w:t>
      </w:r>
    </w:p>
    <w:p w:rsidR="00374ED8" w:rsidRDefault="00374ED8" w:rsidP="00127992">
      <w:pPr>
        <w:autoSpaceDE w:val="0"/>
        <w:autoSpaceDN w:val="0"/>
        <w:adjustRightInd w:val="0"/>
        <w:rPr>
          <w:rFonts w:ascii="Arial" w:hAnsi="Arial" w:cs="Arial"/>
        </w:rPr>
      </w:pPr>
      <w:r w:rsidRPr="00127992">
        <w:rPr>
          <w:rFonts w:ascii="Arial" w:hAnsi="Arial" w:cs="Arial"/>
        </w:rPr>
        <w:t>pro vodní prostředí, Kategorie 1</w:t>
      </w:r>
      <w:r>
        <w:rPr>
          <w:rFonts w:ascii="Arial" w:hAnsi="Arial" w:cs="Arial"/>
        </w:rPr>
        <w:t>,</w:t>
      </w:r>
      <w:r w:rsidRPr="00127992">
        <w:rPr>
          <w:rFonts w:ascii="Arial" w:hAnsi="Arial" w:cs="Arial"/>
        </w:rPr>
        <w:t xml:space="preserve"> H400</w:t>
      </w:r>
      <w:r w:rsidR="00127992" w:rsidRPr="009C01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127992" w:rsidRPr="00374ED8" w:rsidRDefault="00127992" w:rsidP="00127992">
      <w:pPr>
        <w:autoSpaceDE w:val="0"/>
        <w:autoSpaceDN w:val="0"/>
        <w:adjustRightInd w:val="0"/>
        <w:rPr>
          <w:rFonts w:ascii="Arial" w:hAnsi="Arial" w:cs="Arial"/>
        </w:rPr>
      </w:pPr>
      <w:r w:rsidRPr="009C017E">
        <w:rPr>
          <w:rFonts w:ascii="Arial" w:eastAsiaTheme="minorHAnsi" w:hAnsi="Arial" w:cs="Arial"/>
          <w:color w:val="000000"/>
          <w:lang w:val="cs-CZ" w:eastAsia="en-US"/>
        </w:rPr>
        <w:t xml:space="preserve">nebo směrnice 1999/45/ES </w:t>
      </w:r>
    </w:p>
    <w:p w:rsidR="00374ED8" w:rsidRPr="00374ED8" w:rsidRDefault="00127992" w:rsidP="00374ED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cs-CZ" w:eastAsia="en-US"/>
        </w:rPr>
      </w:pPr>
      <w:r w:rsidRPr="009C017E">
        <w:rPr>
          <w:rFonts w:ascii="Arial" w:eastAsiaTheme="minorHAnsi" w:hAnsi="Arial" w:cs="Arial"/>
          <w:color w:val="000000"/>
          <w:lang w:val="cs-CZ" w:eastAsia="en-US"/>
        </w:rPr>
        <w:t>(</w:t>
      </w:r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 xml:space="preserve">C; </w:t>
      </w:r>
      <w:proofErr w:type="spellStart"/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>ŽĺRAVÝ</w:t>
      </w:r>
      <w:proofErr w:type="spellEnd"/>
      <w:r w:rsidR="00374ED8">
        <w:rPr>
          <w:rFonts w:ascii="Arial" w:eastAsiaTheme="minorHAnsi" w:hAnsi="Arial" w:cs="Arial"/>
          <w:color w:val="000000"/>
          <w:lang w:val="cs-CZ" w:eastAsia="en-US"/>
        </w:rPr>
        <w:t>;</w:t>
      </w:r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 xml:space="preserve"> R20/22</w:t>
      </w:r>
      <w:r w:rsidR="00374ED8">
        <w:rPr>
          <w:rFonts w:ascii="Arial" w:eastAsiaTheme="minorHAnsi" w:hAnsi="Arial" w:cs="Arial"/>
          <w:color w:val="000000"/>
          <w:lang w:val="cs-CZ" w:eastAsia="en-US"/>
        </w:rPr>
        <w:t xml:space="preserve">; </w:t>
      </w:r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 xml:space="preserve">N; NEBEZPEČNÝ PRO </w:t>
      </w:r>
      <w:proofErr w:type="spellStart"/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>ŽIVOTNĺ</w:t>
      </w:r>
      <w:proofErr w:type="spellEnd"/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 xml:space="preserve"> </w:t>
      </w:r>
      <w:proofErr w:type="spellStart"/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>PROSTŘEDĺ</w:t>
      </w:r>
      <w:proofErr w:type="spellEnd"/>
      <w:r w:rsidR="00374ED8">
        <w:rPr>
          <w:rFonts w:ascii="Arial" w:eastAsiaTheme="minorHAnsi" w:hAnsi="Arial" w:cs="Arial"/>
          <w:color w:val="000000"/>
          <w:lang w:val="cs-CZ" w:eastAsia="en-US"/>
        </w:rPr>
        <w:t>;</w:t>
      </w:r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 xml:space="preserve"> R34</w:t>
      </w:r>
      <w:r w:rsidR="00374ED8">
        <w:rPr>
          <w:rFonts w:ascii="Arial" w:eastAsiaTheme="minorHAnsi" w:hAnsi="Arial" w:cs="Arial"/>
          <w:color w:val="000000"/>
          <w:lang w:val="cs-CZ" w:eastAsia="en-US"/>
        </w:rPr>
        <w:t xml:space="preserve">; </w:t>
      </w:r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>R37</w:t>
      </w:r>
      <w:r w:rsidR="00374ED8">
        <w:rPr>
          <w:rFonts w:ascii="Arial" w:eastAsiaTheme="minorHAnsi" w:hAnsi="Arial" w:cs="Arial"/>
          <w:color w:val="000000"/>
          <w:lang w:val="cs-CZ" w:eastAsia="en-US"/>
        </w:rPr>
        <w:t xml:space="preserve">; </w:t>
      </w:r>
      <w:r w:rsidR="00374ED8" w:rsidRPr="00374ED8">
        <w:rPr>
          <w:rFonts w:ascii="Arial" w:eastAsiaTheme="minorHAnsi" w:hAnsi="Arial" w:cs="Arial"/>
          <w:color w:val="000000"/>
          <w:lang w:val="cs-CZ" w:eastAsia="en-US"/>
        </w:rPr>
        <w:t>R42/43</w:t>
      </w:r>
      <w:r w:rsidR="00374ED8">
        <w:rPr>
          <w:rFonts w:ascii="Arial" w:eastAsiaTheme="minorHAnsi" w:hAnsi="Arial" w:cs="Arial"/>
          <w:color w:val="000000"/>
          <w:lang w:val="cs-CZ" w:eastAsia="en-US"/>
        </w:rPr>
        <w:t>;</w:t>
      </w:r>
    </w:p>
    <w:p w:rsidR="00127992" w:rsidRPr="009C017E" w:rsidRDefault="00374ED8" w:rsidP="0012799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cs-CZ" w:eastAsia="en-US"/>
        </w:rPr>
      </w:pPr>
      <w:r w:rsidRPr="00374ED8">
        <w:rPr>
          <w:rFonts w:ascii="Arial" w:eastAsiaTheme="minorHAnsi" w:hAnsi="Arial" w:cs="Arial"/>
          <w:color w:val="000000"/>
          <w:lang w:val="cs-CZ" w:eastAsia="en-US"/>
        </w:rPr>
        <w:t>R50</w:t>
      </w:r>
      <w:r w:rsidR="00127992" w:rsidRPr="009C017E">
        <w:rPr>
          <w:rFonts w:ascii="Arial" w:eastAsiaTheme="minorHAnsi" w:hAnsi="Arial" w:cs="Arial"/>
          <w:color w:val="000000"/>
          <w:lang w:val="cs-CZ" w:eastAsia="en-US"/>
        </w:rPr>
        <w:t>).</w:t>
      </w:r>
    </w:p>
    <w:p w:rsidR="00127992" w:rsidRPr="009C017E" w:rsidRDefault="00127992" w:rsidP="00127992">
      <w:pPr>
        <w:rPr>
          <w:rFonts w:ascii="Arial" w:eastAsiaTheme="minorHAnsi" w:hAnsi="Arial" w:cs="Arial"/>
          <w:color w:val="000000"/>
          <w:lang w:val="cs-CZ" w:eastAsia="en-US"/>
        </w:rPr>
      </w:pPr>
      <w:r w:rsidRPr="009C017E">
        <w:rPr>
          <w:rFonts w:ascii="Arial" w:eastAsiaTheme="minorHAnsi" w:hAnsi="Arial" w:cs="Arial"/>
          <w:color w:val="000000"/>
          <w:lang w:val="cs-CZ" w:eastAsia="en-US"/>
        </w:rPr>
        <w:t>Před použitím čtěte přiložené pokyny.</w:t>
      </w:r>
    </w:p>
    <w:p w:rsidR="00127992" w:rsidRPr="009C017E" w:rsidRDefault="00127992" w:rsidP="00127992">
      <w:pPr>
        <w:rPr>
          <w:rFonts w:ascii="Arial" w:hAnsi="Arial" w:cs="Arial"/>
        </w:rPr>
      </w:pPr>
    </w:p>
    <w:p w:rsidR="00127992" w:rsidRPr="009C017E" w:rsidRDefault="00127992" w:rsidP="00127992">
      <w:pPr>
        <w:rPr>
          <w:rFonts w:ascii="Arial" w:hAnsi="Arial" w:cs="Arial"/>
        </w:rPr>
      </w:pPr>
      <w:r w:rsidRPr="009C017E">
        <w:rPr>
          <w:rFonts w:ascii="Arial" w:hAnsi="Arial" w:cs="Arial"/>
        </w:rPr>
        <w:t xml:space="preserve">Při práci s koncentrovaným přípravkem dodržujte pokyny pro bezpečné zacházení, </w:t>
      </w:r>
    </w:p>
    <w:p w:rsidR="00127992" w:rsidRPr="009C017E" w:rsidRDefault="00127992" w:rsidP="00127992">
      <w:pPr>
        <w:rPr>
          <w:rFonts w:ascii="Arial" w:hAnsi="Arial" w:cs="Arial"/>
        </w:rPr>
      </w:pPr>
      <w:r w:rsidRPr="009C017E">
        <w:rPr>
          <w:rFonts w:ascii="Arial" w:hAnsi="Arial" w:cs="Arial"/>
        </w:rPr>
        <w:t xml:space="preserve">které naleznete v příslušném bezpečnostním listu přípravku. </w:t>
      </w:r>
    </w:p>
    <w:p w:rsidR="00127992" w:rsidRDefault="00127992" w:rsidP="00F6722B">
      <w:pPr>
        <w:rPr>
          <w:rFonts w:ascii="Arial" w:hAnsi="Arial" w:cs="Arial"/>
        </w:rPr>
      </w:pPr>
    </w:p>
    <w:p w:rsidR="00F6722B" w:rsidRPr="00167777" w:rsidRDefault="00F6722B" w:rsidP="00F6722B">
      <w:pPr>
        <w:rPr>
          <w:rFonts w:ascii="Arial" w:hAnsi="Arial" w:cs="Arial"/>
          <w:sz w:val="20"/>
          <w:szCs w:val="20"/>
        </w:rPr>
      </w:pPr>
    </w:p>
    <w:p w:rsidR="00F6722B" w:rsidRPr="009A45C3" w:rsidRDefault="00F6722B" w:rsidP="00F6722B">
      <w:pPr>
        <w:rPr>
          <w:rFonts w:ascii="Arial" w:hAnsi="Arial" w:cs="Arial"/>
          <w:b/>
        </w:rPr>
      </w:pPr>
      <w:r w:rsidRPr="009A45C3">
        <w:rPr>
          <w:rFonts w:ascii="Arial" w:hAnsi="Arial" w:cs="Arial"/>
          <w:b/>
        </w:rPr>
        <w:t xml:space="preserve">Doba použitelnosti: </w:t>
      </w:r>
      <w:r w:rsidRPr="004C322A">
        <w:rPr>
          <w:rFonts w:ascii="Arial" w:hAnsi="Arial" w:cs="Arial"/>
        </w:rPr>
        <w:t>48 měsíců</w:t>
      </w:r>
    </w:p>
    <w:p w:rsidR="00F6722B" w:rsidRPr="009A45C3" w:rsidRDefault="00F6722B" w:rsidP="00F6722B">
      <w:pPr>
        <w:rPr>
          <w:rFonts w:ascii="Arial" w:hAnsi="Arial" w:cs="Arial"/>
        </w:rPr>
      </w:pPr>
    </w:p>
    <w:p w:rsidR="004C322A" w:rsidRPr="004C322A" w:rsidRDefault="00F6722B" w:rsidP="00F6722B">
      <w:pPr>
        <w:rPr>
          <w:rFonts w:ascii="Arial" w:hAnsi="Arial" w:cs="Arial"/>
          <w:b/>
        </w:rPr>
      </w:pPr>
      <w:r w:rsidRPr="004C322A">
        <w:rPr>
          <w:rFonts w:ascii="Arial" w:hAnsi="Arial" w:cs="Arial"/>
          <w:b/>
        </w:rPr>
        <w:t xml:space="preserve">Balení: </w:t>
      </w:r>
    </w:p>
    <w:p w:rsidR="00F6722B" w:rsidRPr="009A45C3" w:rsidRDefault="00F6722B" w:rsidP="00F6722B">
      <w:pPr>
        <w:rPr>
          <w:rFonts w:ascii="Arial" w:hAnsi="Arial" w:cs="Arial"/>
        </w:rPr>
      </w:pPr>
      <w:r w:rsidRPr="009A45C3">
        <w:rPr>
          <w:rFonts w:ascii="Arial" w:hAnsi="Arial" w:cs="Arial"/>
        </w:rPr>
        <w:t>kanystr 6 l</w:t>
      </w:r>
    </w:p>
    <w:p w:rsidR="00F6722B" w:rsidRPr="009A45C3" w:rsidRDefault="00F6722B" w:rsidP="00F6722B">
      <w:pPr>
        <w:rPr>
          <w:rFonts w:ascii="Arial" w:hAnsi="Arial" w:cs="Arial"/>
        </w:rPr>
      </w:pPr>
      <w:r w:rsidRPr="009A45C3">
        <w:rPr>
          <w:rFonts w:ascii="Arial" w:hAnsi="Arial" w:cs="Arial"/>
        </w:rPr>
        <w:t>láhev 2 l s integrovaným dávkovačem</w:t>
      </w:r>
    </w:p>
    <w:p w:rsidR="00C9751A" w:rsidRPr="00C9751A" w:rsidRDefault="00C9751A" w:rsidP="00C9751A">
      <w:pPr>
        <w:rPr>
          <w:rFonts w:ascii="Arial" w:hAnsi="Arial" w:cs="Arial"/>
        </w:rPr>
      </w:pPr>
    </w:p>
    <w:p w:rsidR="00C9751A" w:rsidRDefault="00C9751A" w:rsidP="000D6B1F">
      <w:pPr>
        <w:rPr>
          <w:rFonts w:ascii="Arial" w:hAnsi="Arial" w:cs="Arial"/>
        </w:rPr>
      </w:pPr>
    </w:p>
    <w:p w:rsidR="00127992" w:rsidRDefault="00127992" w:rsidP="000D6B1F">
      <w:pPr>
        <w:rPr>
          <w:rFonts w:ascii="Arial" w:hAnsi="Arial" w:cs="Arial"/>
        </w:rPr>
      </w:pPr>
    </w:p>
    <w:p w:rsidR="00127992" w:rsidRDefault="00127992" w:rsidP="000D6B1F">
      <w:pPr>
        <w:rPr>
          <w:rFonts w:ascii="Arial" w:hAnsi="Arial" w:cs="Arial"/>
        </w:rPr>
      </w:pPr>
    </w:p>
    <w:p w:rsidR="00336BFA" w:rsidRDefault="00336BFA" w:rsidP="000D6B1F">
      <w:pPr>
        <w:rPr>
          <w:rFonts w:ascii="Arial" w:hAnsi="Arial" w:cs="Arial"/>
        </w:rPr>
      </w:pPr>
    </w:p>
    <w:p w:rsidR="00336BFA" w:rsidRDefault="00336BFA" w:rsidP="000D6B1F">
      <w:pPr>
        <w:rPr>
          <w:rFonts w:ascii="Arial" w:hAnsi="Arial" w:cs="Arial"/>
        </w:rPr>
      </w:pPr>
    </w:p>
    <w:p w:rsidR="00336BFA" w:rsidRDefault="00336BFA" w:rsidP="000D6B1F">
      <w:pPr>
        <w:rPr>
          <w:rFonts w:ascii="Arial" w:hAnsi="Arial" w:cs="Arial"/>
        </w:rPr>
      </w:pPr>
    </w:p>
    <w:p w:rsidR="00336BFA" w:rsidRDefault="00336BFA" w:rsidP="000D6B1F">
      <w:pPr>
        <w:rPr>
          <w:rFonts w:ascii="Arial" w:hAnsi="Arial" w:cs="Arial"/>
        </w:rPr>
      </w:pPr>
    </w:p>
    <w:p w:rsidR="00336BFA" w:rsidRDefault="00336BFA" w:rsidP="000D6B1F">
      <w:pPr>
        <w:rPr>
          <w:rFonts w:ascii="Arial" w:hAnsi="Arial" w:cs="Arial"/>
        </w:rPr>
      </w:pPr>
    </w:p>
    <w:p w:rsidR="00336BFA" w:rsidRDefault="00336BFA" w:rsidP="000D6B1F">
      <w:pPr>
        <w:rPr>
          <w:rFonts w:ascii="Arial" w:hAnsi="Arial" w:cs="Arial"/>
        </w:rPr>
      </w:pPr>
    </w:p>
    <w:p w:rsidR="00374ED8" w:rsidRDefault="00374ED8" w:rsidP="000D6B1F">
      <w:pPr>
        <w:rPr>
          <w:rFonts w:ascii="Arial" w:hAnsi="Arial" w:cs="Arial"/>
        </w:rPr>
      </w:pPr>
    </w:p>
    <w:p w:rsidR="00374ED8" w:rsidRDefault="00374ED8" w:rsidP="000D6B1F">
      <w:pPr>
        <w:rPr>
          <w:rFonts w:ascii="Arial" w:hAnsi="Arial" w:cs="Arial"/>
        </w:rPr>
      </w:pPr>
    </w:p>
    <w:p w:rsidR="00374ED8" w:rsidRDefault="00374ED8" w:rsidP="000D6B1F">
      <w:pPr>
        <w:rPr>
          <w:rFonts w:ascii="Arial" w:hAnsi="Arial" w:cs="Arial"/>
        </w:rPr>
      </w:pPr>
    </w:p>
    <w:p w:rsidR="00374ED8" w:rsidRDefault="00374ED8" w:rsidP="000D6B1F">
      <w:pPr>
        <w:rPr>
          <w:rFonts w:ascii="Arial" w:hAnsi="Arial" w:cs="Arial"/>
        </w:rPr>
      </w:pPr>
    </w:p>
    <w:p w:rsidR="00374ED8" w:rsidRDefault="00374ED8" w:rsidP="000D6B1F">
      <w:pPr>
        <w:rPr>
          <w:rFonts w:ascii="Arial" w:hAnsi="Arial" w:cs="Arial"/>
        </w:rPr>
      </w:pPr>
    </w:p>
    <w:p w:rsidR="00374ED8" w:rsidRDefault="00374ED8" w:rsidP="000D6B1F">
      <w:pPr>
        <w:rPr>
          <w:rFonts w:ascii="Arial" w:hAnsi="Arial" w:cs="Arial"/>
        </w:rPr>
      </w:pPr>
    </w:p>
    <w:p w:rsidR="00374ED8" w:rsidRPr="009C017E" w:rsidRDefault="00374ED8" w:rsidP="000D6B1F">
      <w:pPr>
        <w:rPr>
          <w:rFonts w:ascii="Arial" w:hAnsi="Arial" w:cs="Arial"/>
        </w:rPr>
      </w:pPr>
    </w:p>
    <w:p w:rsidR="003034FA" w:rsidRPr="007557CB" w:rsidRDefault="00763D70" w:rsidP="00763D70">
      <w:pPr>
        <w:ind w:right="-141" w:hanging="567"/>
        <w:rPr>
          <w:rFonts w:ascii="Arial" w:hAnsi="Arial" w:cs="Arial"/>
          <w:b/>
          <w:sz w:val="20"/>
          <w:szCs w:val="20"/>
        </w:rPr>
      </w:pPr>
      <w:r w:rsidRPr="007557CB">
        <w:rPr>
          <w:rFonts w:ascii="Arial" w:hAnsi="Arial" w:cs="Arial"/>
          <w:b/>
          <w:sz w:val="20"/>
          <w:szCs w:val="20"/>
        </w:rPr>
        <w:t>Ecolab Hygiene s.r.o. | Hlinky 118 | 60300 Brno | CZ | tel.: 543518248 | fax.: 543518299 | www.ecolabcz.cz |</w:t>
      </w:r>
    </w:p>
    <w:sectPr w:rsidR="003034FA" w:rsidRPr="007557CB" w:rsidSect="00413A0B">
      <w:headerReference w:type="default" r:id="rId8"/>
      <w:footerReference w:type="default" r:id="rId9"/>
      <w:pgSz w:w="11906" w:h="16838"/>
      <w:pgMar w:top="524" w:right="70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2A" w:rsidRDefault="004C322A" w:rsidP="003034FA">
      <w:r>
        <w:separator/>
      </w:r>
    </w:p>
  </w:endnote>
  <w:endnote w:type="continuationSeparator" w:id="0">
    <w:p w:rsidR="004C322A" w:rsidRDefault="004C322A" w:rsidP="0030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2A" w:rsidRPr="00413A0B" w:rsidRDefault="004C322A" w:rsidP="00413A0B">
    <w:pPr>
      <w:pStyle w:val="Zpat"/>
      <w:ind w:left="-709"/>
      <w:rPr>
        <w:rFonts w:ascii="Arial" w:hAnsi="Arial" w:cs="Arial"/>
        <w:sz w:val="18"/>
        <w:szCs w:val="18"/>
        <w:lang w:val="cs-CZ"/>
      </w:rPr>
    </w:pPr>
    <w:r w:rsidRPr="000F061D">
      <w:rPr>
        <w:rFonts w:ascii="Arial" w:hAnsi="Arial" w:cs="Arial"/>
        <w:b/>
        <w:sz w:val="18"/>
        <w:szCs w:val="18"/>
        <w:lang w:val="cs-CZ"/>
      </w:rPr>
      <w:t>INCID</w:t>
    </w:r>
    <w:r>
      <w:rPr>
        <w:rFonts w:ascii="Arial" w:hAnsi="Arial" w:cs="Arial"/>
        <w:b/>
        <w:sz w:val="18"/>
        <w:szCs w:val="18"/>
        <w:lang w:val="cs-CZ"/>
      </w:rPr>
      <w:t xml:space="preserve">IN </w:t>
    </w:r>
    <w:proofErr w:type="gramStart"/>
    <w:r w:rsidR="00127992">
      <w:rPr>
        <w:rFonts w:ascii="Arial" w:hAnsi="Arial" w:cs="Arial"/>
        <w:b/>
        <w:sz w:val="18"/>
        <w:szCs w:val="18"/>
        <w:lang w:val="cs-CZ"/>
      </w:rPr>
      <w:t>RAPID</w:t>
    </w:r>
    <w:r>
      <w:rPr>
        <w:rFonts w:ascii="Arial" w:hAnsi="Arial" w:cs="Arial"/>
        <w:sz w:val="18"/>
        <w:szCs w:val="18"/>
        <w:lang w:val="cs-CZ"/>
      </w:rPr>
      <w:t xml:space="preserve">           </w:t>
    </w:r>
    <w:r w:rsidRPr="00413A0B">
      <w:rPr>
        <w:rFonts w:ascii="Arial" w:hAnsi="Arial" w:cs="Arial"/>
        <w:b/>
        <w:sz w:val="18"/>
        <w:szCs w:val="18"/>
        <w:lang w:val="cs-CZ"/>
      </w:rPr>
      <w:t>Datum</w:t>
    </w:r>
    <w:proofErr w:type="gramEnd"/>
    <w:r w:rsidRPr="00413A0B">
      <w:rPr>
        <w:rFonts w:ascii="Arial" w:hAnsi="Arial" w:cs="Arial"/>
        <w:b/>
        <w:sz w:val="18"/>
        <w:szCs w:val="18"/>
        <w:lang w:val="cs-CZ"/>
      </w:rPr>
      <w:t xml:space="preserve"> vyhotovení:</w:t>
    </w:r>
    <w:r w:rsidRPr="00413A0B">
      <w:rPr>
        <w:rFonts w:ascii="Arial" w:hAnsi="Arial" w:cs="Arial"/>
        <w:sz w:val="18"/>
        <w:szCs w:val="18"/>
        <w:lang w:val="cs-CZ"/>
      </w:rPr>
      <w:t xml:space="preserve"> </w:t>
    </w:r>
    <w:proofErr w:type="gramStart"/>
    <w:r w:rsidRPr="00413A0B">
      <w:rPr>
        <w:rFonts w:ascii="Arial" w:hAnsi="Arial" w:cs="Arial"/>
        <w:sz w:val="18"/>
        <w:szCs w:val="18"/>
        <w:lang w:val="cs-CZ"/>
      </w:rPr>
      <w:t>1.10.2015</w:t>
    </w:r>
    <w:proofErr w:type="gramEnd"/>
    <w:r>
      <w:rPr>
        <w:rFonts w:ascii="Arial" w:hAnsi="Arial" w:cs="Arial"/>
        <w:sz w:val="18"/>
        <w:szCs w:val="18"/>
        <w:lang w:val="cs-CZ"/>
      </w:rPr>
      <w:t xml:space="preserve">           </w:t>
    </w:r>
    <w:r w:rsidRPr="00413A0B">
      <w:rPr>
        <w:rFonts w:ascii="Arial" w:hAnsi="Arial" w:cs="Arial"/>
        <w:b/>
        <w:sz w:val="18"/>
        <w:szCs w:val="18"/>
        <w:lang w:val="cs-CZ"/>
      </w:rPr>
      <w:t>Datum revize:</w:t>
    </w:r>
    <w:r w:rsidRPr="00413A0B">
      <w:rPr>
        <w:rFonts w:ascii="Arial" w:hAnsi="Arial" w:cs="Arial"/>
        <w:sz w:val="18"/>
        <w:szCs w:val="18"/>
        <w:lang w:val="cs-CZ"/>
      </w:rPr>
      <w:t xml:space="preserve"> </w:t>
    </w:r>
    <w:proofErr w:type="gramStart"/>
    <w:r w:rsidRPr="00413A0B">
      <w:rPr>
        <w:rFonts w:ascii="Arial" w:hAnsi="Arial" w:cs="Arial"/>
        <w:sz w:val="18"/>
        <w:szCs w:val="18"/>
        <w:lang w:val="cs-CZ"/>
      </w:rPr>
      <w:t xml:space="preserve">-           </w:t>
    </w:r>
    <w:r w:rsidRPr="00413A0B">
      <w:rPr>
        <w:rFonts w:ascii="Arial" w:hAnsi="Arial" w:cs="Arial"/>
        <w:b/>
        <w:sz w:val="18"/>
        <w:szCs w:val="18"/>
        <w:lang w:val="cs-CZ"/>
      </w:rPr>
      <w:t>Verze</w:t>
    </w:r>
    <w:proofErr w:type="gramEnd"/>
    <w:r w:rsidRPr="00413A0B">
      <w:rPr>
        <w:rFonts w:ascii="Arial" w:hAnsi="Arial" w:cs="Arial"/>
        <w:sz w:val="18"/>
        <w:szCs w:val="18"/>
        <w:lang w:val="cs-CZ"/>
      </w:rPr>
      <w:t xml:space="preserve"> 1.0               </w:t>
    </w:r>
    <w:r w:rsidRPr="00413A0B">
      <w:rPr>
        <w:rFonts w:ascii="Arial" w:hAnsi="Arial" w:cs="Arial"/>
        <w:sz w:val="18"/>
        <w:szCs w:val="18"/>
        <w:lang w:val="cs-CZ"/>
      </w:rPr>
      <w:tab/>
      <w:t xml:space="preserve"> </w:t>
    </w:r>
    <w:r w:rsidRPr="00413A0B">
      <w:rPr>
        <w:rFonts w:ascii="Arial" w:hAnsi="Arial" w:cs="Arial"/>
        <w:sz w:val="18"/>
        <w:szCs w:val="18"/>
        <w:lang w:val="cs-CZ"/>
      </w:rPr>
      <w:fldChar w:fldCharType="begin"/>
    </w:r>
    <w:r w:rsidRPr="00413A0B">
      <w:rPr>
        <w:rFonts w:ascii="Arial" w:hAnsi="Arial" w:cs="Arial"/>
        <w:sz w:val="18"/>
        <w:szCs w:val="18"/>
        <w:lang w:val="cs-CZ"/>
      </w:rPr>
      <w:instrText xml:space="preserve"> PAGE   \* MERGEFORMAT </w:instrText>
    </w:r>
    <w:r w:rsidRPr="00413A0B">
      <w:rPr>
        <w:rFonts w:ascii="Arial" w:hAnsi="Arial" w:cs="Arial"/>
        <w:sz w:val="18"/>
        <w:szCs w:val="18"/>
        <w:lang w:val="cs-CZ"/>
      </w:rPr>
      <w:fldChar w:fldCharType="separate"/>
    </w:r>
    <w:r w:rsidR="00374ED8">
      <w:rPr>
        <w:rFonts w:ascii="Arial" w:hAnsi="Arial" w:cs="Arial"/>
        <w:noProof/>
        <w:sz w:val="18"/>
        <w:szCs w:val="18"/>
        <w:lang w:val="cs-CZ"/>
      </w:rPr>
      <w:t>1</w:t>
    </w:r>
    <w:r w:rsidRPr="00413A0B">
      <w:rPr>
        <w:rFonts w:ascii="Arial" w:hAnsi="Arial" w:cs="Arial"/>
        <w:sz w:val="18"/>
        <w:szCs w:val="18"/>
        <w:lang w:val="cs-CZ"/>
      </w:rPr>
      <w:fldChar w:fldCharType="end"/>
    </w:r>
    <w:r w:rsidRPr="00413A0B">
      <w:rPr>
        <w:rFonts w:ascii="Arial" w:hAnsi="Arial" w:cs="Arial"/>
        <w:sz w:val="18"/>
        <w:szCs w:val="18"/>
        <w:lang w:val="cs-CZ"/>
      </w:rPr>
      <w:t xml:space="preserve"> / 2</w:t>
    </w:r>
    <w:r w:rsidRPr="00413A0B">
      <w:rPr>
        <w:rFonts w:ascii="Arial" w:hAnsi="Arial" w:cs="Arial"/>
        <w:sz w:val="18"/>
        <w:szCs w:val="18"/>
        <w:lang w:val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2A" w:rsidRDefault="004C322A" w:rsidP="003034FA">
      <w:r>
        <w:separator/>
      </w:r>
    </w:p>
  </w:footnote>
  <w:footnote w:type="continuationSeparator" w:id="0">
    <w:p w:rsidR="004C322A" w:rsidRDefault="004C322A" w:rsidP="0030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2A" w:rsidRPr="00AE656F" w:rsidRDefault="004C322A" w:rsidP="00413A0B">
    <w:pPr>
      <w:ind w:right="-283"/>
      <w:rPr>
        <w:rFonts w:ascii="Arial" w:hAnsi="Arial" w:cs="Arial"/>
        <w:b/>
        <w:snapToGrid w:val="0"/>
        <w:color w:val="000000" w:themeColor="text1"/>
      </w:rPr>
    </w:pPr>
    <w:r>
      <w:rPr>
        <w:rFonts w:ascii="Arial" w:hAnsi="Arial" w:cs="Arial"/>
        <w:b/>
        <w:noProof/>
        <w:color w:val="000000" w:themeColor="text1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-59055</wp:posOffset>
          </wp:positionV>
          <wp:extent cx="1552575" cy="342900"/>
          <wp:effectExtent l="19050" t="0" r="9525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napToGrid w:val="0"/>
        <w:color w:val="000000" w:themeColor="text1"/>
      </w:rPr>
      <w:t xml:space="preserve">                                                   </w:t>
    </w:r>
    <w:r w:rsidRPr="00AE656F">
      <w:rPr>
        <w:rFonts w:ascii="Arial" w:hAnsi="Arial" w:cs="Arial"/>
        <w:b/>
        <w:snapToGrid w:val="0"/>
        <w:color w:val="000000" w:themeColor="text1"/>
      </w:rPr>
      <w:t>N</w:t>
    </w:r>
    <w:r>
      <w:rPr>
        <w:rFonts w:ascii="Arial" w:hAnsi="Arial" w:cs="Arial"/>
        <w:b/>
        <w:snapToGrid w:val="0"/>
        <w:color w:val="000000" w:themeColor="text1"/>
      </w:rPr>
      <w:t>Á</w:t>
    </w:r>
    <w:r w:rsidRPr="00AE656F">
      <w:rPr>
        <w:rFonts w:ascii="Arial" w:hAnsi="Arial" w:cs="Arial"/>
        <w:b/>
        <w:snapToGrid w:val="0"/>
        <w:color w:val="000000" w:themeColor="text1"/>
      </w:rPr>
      <w:t>VOD K</w:t>
    </w:r>
    <w:r>
      <w:rPr>
        <w:rFonts w:ascii="Arial" w:hAnsi="Arial" w:cs="Arial"/>
        <w:b/>
        <w:snapToGrid w:val="0"/>
        <w:color w:val="000000" w:themeColor="text1"/>
      </w:rPr>
      <w:t xml:space="preserve"> BEZPEČNÉMU </w:t>
    </w:r>
    <w:r w:rsidRPr="00AE656F">
      <w:rPr>
        <w:rFonts w:ascii="Arial" w:hAnsi="Arial" w:cs="Arial"/>
        <w:b/>
        <w:snapToGrid w:val="0"/>
        <w:color w:val="000000" w:themeColor="text1"/>
      </w:rPr>
      <w:t xml:space="preserve"> POUŽIT</w:t>
    </w:r>
    <w:r>
      <w:rPr>
        <w:rFonts w:ascii="Arial" w:hAnsi="Arial" w:cs="Arial"/>
        <w:b/>
        <w:snapToGrid w:val="0"/>
        <w:color w:val="000000" w:themeColor="text1"/>
      </w:rPr>
      <w:t>Í</w:t>
    </w:r>
    <w:r w:rsidRPr="00AE656F">
      <w:rPr>
        <w:rFonts w:ascii="Arial" w:hAnsi="Arial" w:cs="Arial"/>
        <w:b/>
        <w:snapToGrid w:val="0"/>
        <w:color w:val="000000" w:themeColor="text1"/>
      </w:rPr>
      <w:t xml:space="preserve"> A TECHNICKÝ LIST</w:t>
    </w:r>
  </w:p>
  <w:p w:rsidR="004C322A" w:rsidRDefault="004C32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99C"/>
    <w:multiLevelType w:val="hybridMultilevel"/>
    <w:tmpl w:val="A800B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9E5"/>
    <w:multiLevelType w:val="hybridMultilevel"/>
    <w:tmpl w:val="33FEF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47DF9"/>
    <w:multiLevelType w:val="hybridMultilevel"/>
    <w:tmpl w:val="130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A683A"/>
    <w:multiLevelType w:val="hybridMultilevel"/>
    <w:tmpl w:val="7FCA0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E72438"/>
    <w:multiLevelType w:val="hybridMultilevel"/>
    <w:tmpl w:val="55F053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A51D9"/>
    <w:multiLevelType w:val="hybridMultilevel"/>
    <w:tmpl w:val="6FAA7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D340A"/>
    <w:multiLevelType w:val="hybridMultilevel"/>
    <w:tmpl w:val="3FD88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65FDF"/>
    <w:multiLevelType w:val="hybridMultilevel"/>
    <w:tmpl w:val="531A5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22"/>
    <w:rsid w:val="000D354C"/>
    <w:rsid w:val="000D6B1F"/>
    <w:rsid w:val="000F061D"/>
    <w:rsid w:val="000F5087"/>
    <w:rsid w:val="00127992"/>
    <w:rsid w:val="001773F9"/>
    <w:rsid w:val="00182A79"/>
    <w:rsid w:val="001B3C06"/>
    <w:rsid w:val="00244B4B"/>
    <w:rsid w:val="00265FC5"/>
    <w:rsid w:val="002B16A9"/>
    <w:rsid w:val="002F439F"/>
    <w:rsid w:val="003034FA"/>
    <w:rsid w:val="00336BFA"/>
    <w:rsid w:val="00372419"/>
    <w:rsid w:val="003737D1"/>
    <w:rsid w:val="00374ED8"/>
    <w:rsid w:val="003964CC"/>
    <w:rsid w:val="003D51FD"/>
    <w:rsid w:val="003F3941"/>
    <w:rsid w:val="003F70B6"/>
    <w:rsid w:val="00413A0B"/>
    <w:rsid w:val="0046316B"/>
    <w:rsid w:val="00470EFB"/>
    <w:rsid w:val="0049567C"/>
    <w:rsid w:val="004A048B"/>
    <w:rsid w:val="004C322A"/>
    <w:rsid w:val="0050162D"/>
    <w:rsid w:val="005027E9"/>
    <w:rsid w:val="00530FDE"/>
    <w:rsid w:val="00543C70"/>
    <w:rsid w:val="00555C06"/>
    <w:rsid w:val="00577718"/>
    <w:rsid w:val="00621A62"/>
    <w:rsid w:val="00681194"/>
    <w:rsid w:val="0068592C"/>
    <w:rsid w:val="00693B5D"/>
    <w:rsid w:val="006D6AA8"/>
    <w:rsid w:val="006E4218"/>
    <w:rsid w:val="006E6834"/>
    <w:rsid w:val="00700B44"/>
    <w:rsid w:val="00753AE3"/>
    <w:rsid w:val="007557CB"/>
    <w:rsid w:val="00763D70"/>
    <w:rsid w:val="00793165"/>
    <w:rsid w:val="00793BB9"/>
    <w:rsid w:val="007C0A47"/>
    <w:rsid w:val="007F5705"/>
    <w:rsid w:val="00876DBB"/>
    <w:rsid w:val="00885E91"/>
    <w:rsid w:val="008F1851"/>
    <w:rsid w:val="00947D47"/>
    <w:rsid w:val="00995148"/>
    <w:rsid w:val="009C017E"/>
    <w:rsid w:val="009F128D"/>
    <w:rsid w:val="00A627D0"/>
    <w:rsid w:val="00AB319F"/>
    <w:rsid w:val="00AB448C"/>
    <w:rsid w:val="00AD0E73"/>
    <w:rsid w:val="00AE5E2E"/>
    <w:rsid w:val="00AE656F"/>
    <w:rsid w:val="00AE6739"/>
    <w:rsid w:val="00AF1EDD"/>
    <w:rsid w:val="00B03328"/>
    <w:rsid w:val="00B06900"/>
    <w:rsid w:val="00B221CC"/>
    <w:rsid w:val="00B26A36"/>
    <w:rsid w:val="00B37AB1"/>
    <w:rsid w:val="00B72F24"/>
    <w:rsid w:val="00BA1B57"/>
    <w:rsid w:val="00BD51E1"/>
    <w:rsid w:val="00C244B8"/>
    <w:rsid w:val="00C526D9"/>
    <w:rsid w:val="00C6020E"/>
    <w:rsid w:val="00C9751A"/>
    <w:rsid w:val="00CA7922"/>
    <w:rsid w:val="00D21993"/>
    <w:rsid w:val="00D243EC"/>
    <w:rsid w:val="00D50872"/>
    <w:rsid w:val="00D55424"/>
    <w:rsid w:val="00D82343"/>
    <w:rsid w:val="00DE3704"/>
    <w:rsid w:val="00F104B4"/>
    <w:rsid w:val="00F13130"/>
    <w:rsid w:val="00F5744F"/>
    <w:rsid w:val="00F6722B"/>
    <w:rsid w:val="00FC586A"/>
    <w:rsid w:val="00FD6D0A"/>
    <w:rsid w:val="00FE1274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dpis1">
    <w:name w:val="heading 1"/>
    <w:basedOn w:val="Normln"/>
    <w:next w:val="Normln"/>
    <w:link w:val="Nadpis1Char"/>
    <w:qFormat/>
    <w:rsid w:val="00CA7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A7922"/>
    <w:pPr>
      <w:keepNext/>
      <w:widowControl w:val="0"/>
      <w:tabs>
        <w:tab w:val="left" w:pos="204"/>
      </w:tabs>
      <w:jc w:val="center"/>
      <w:outlineLvl w:val="1"/>
    </w:pPr>
    <w:rPr>
      <w:rFonts w:ascii="Arial" w:hAnsi="Arial"/>
      <w:b/>
      <w:snapToGrid w:val="0"/>
      <w:sz w:val="18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27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5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7922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customStyle="1" w:styleId="Nadpis2Char">
    <w:name w:val="Nadpis 2 Char"/>
    <w:basedOn w:val="Standardnpsmoodstavce"/>
    <w:link w:val="Nadpis2"/>
    <w:rsid w:val="00CA7922"/>
    <w:rPr>
      <w:rFonts w:ascii="Arial" w:eastAsia="Times New Roman" w:hAnsi="Arial" w:cs="Times New Roman"/>
      <w:b/>
      <w:snapToGrid w:val="0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9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922"/>
    <w:rPr>
      <w:rFonts w:ascii="Tahoma" w:eastAsia="Times New Roman" w:hAnsi="Tahoma" w:cs="Tahoma"/>
      <w:sz w:val="16"/>
      <w:szCs w:val="16"/>
      <w:lang w:val="sl-SI" w:eastAsia="sl-SI"/>
    </w:rPr>
  </w:style>
  <w:style w:type="paragraph" w:styleId="Zhlav">
    <w:name w:val="header"/>
    <w:basedOn w:val="Normln"/>
    <w:link w:val="ZhlavChar"/>
    <w:uiPriority w:val="99"/>
    <w:unhideWhenUsed/>
    <w:rsid w:val="003034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4F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Zpat">
    <w:name w:val="footer"/>
    <w:basedOn w:val="Normln"/>
    <w:link w:val="ZpatChar"/>
    <w:uiPriority w:val="99"/>
    <w:unhideWhenUsed/>
    <w:rsid w:val="003034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4F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cseseznamem">
    <w:name w:val="List Paragraph"/>
    <w:basedOn w:val="Normln"/>
    <w:uiPriority w:val="34"/>
    <w:qFormat/>
    <w:rsid w:val="00B26A3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26A3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6A36"/>
  </w:style>
  <w:style w:type="table" w:styleId="Mkatabulky">
    <w:name w:val="Table Grid"/>
    <w:basedOn w:val="Normlntabulka"/>
    <w:uiPriority w:val="59"/>
    <w:rsid w:val="00B2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7F57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l-SI" w:eastAsia="sl-SI"/>
    </w:rPr>
  </w:style>
  <w:style w:type="paragraph" w:customStyle="1" w:styleId="Default">
    <w:name w:val="Default"/>
    <w:rsid w:val="000F0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00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00B44"/>
    <w:rPr>
      <w:rFonts w:ascii="Times New Roman" w:eastAsia="Times New Roman" w:hAnsi="Times New Roman" w:cs="Times New Roman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lazniro</dc:creator>
  <cp:lastModifiedBy>minarle</cp:lastModifiedBy>
  <cp:revision>6</cp:revision>
  <cp:lastPrinted>2015-09-25T11:20:00Z</cp:lastPrinted>
  <dcterms:created xsi:type="dcterms:W3CDTF">2015-09-25T11:21:00Z</dcterms:created>
  <dcterms:modified xsi:type="dcterms:W3CDTF">2015-09-25T11:43:00Z</dcterms:modified>
</cp:coreProperties>
</file>